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仿宋" w:hAnsi="仿宋" w:eastAsia="仿宋" w:cs="仿宋"/>
          <w:sz w:val="32"/>
          <w:szCs w:val="32"/>
          <w:lang w:val="en-US" w:eastAsia="zh-CN"/>
        </w:rPr>
      </w:pPr>
      <w:bookmarkStart w:id="0" w:name="OLE_LINK2"/>
      <w:bookmarkStart w:id="1" w:name="_Hlk138249118"/>
      <w:r>
        <w:rPr>
          <w:rFonts w:hint="eastAsia" w:ascii="仿宋" w:hAnsi="仿宋" w:eastAsia="仿宋" w:cs="仿宋"/>
          <w:sz w:val="32"/>
          <w:szCs w:val="32"/>
          <w:lang w:val="en-US" w:eastAsia="zh-CN"/>
        </w:rPr>
        <w:t>附件一：</w:t>
      </w:r>
    </w:p>
    <w:p>
      <w:pPr>
        <w:keepNext w:val="0"/>
        <w:keepLines w:val="0"/>
        <w:pageBreakBefore w:val="0"/>
        <w:widowControl/>
        <w:kinsoku/>
        <w:wordWrap/>
        <w:overflowPunct/>
        <w:topLinePunct w:val="0"/>
        <w:autoSpaceDE/>
        <w:autoSpaceDN/>
        <w:bidi w:val="0"/>
        <w:adjustRightInd/>
        <w:snapToGrid w:val="0"/>
        <w:spacing w:line="560" w:lineRule="atLeast"/>
        <w:jc w:val="center"/>
        <w:textAlignment w:val="baseline"/>
        <w:rPr>
          <w:rFonts w:hint="eastAsia" w:ascii="方正小标宋简体" w:hAnsi="方正小标宋简体" w:eastAsia="方正小标宋简体" w:cs="方正小标宋简体"/>
          <w:b/>
          <w:bCs/>
          <w:color w:val="000000"/>
          <w:sz w:val="44"/>
          <w:szCs w:val="44"/>
          <w:shd w:val="clear" w:color="auto" w:fill="FFFFFF"/>
        </w:rPr>
      </w:pPr>
      <w:bookmarkStart w:id="2" w:name="OLE_LINK1"/>
    </w:p>
    <w:p>
      <w:pPr>
        <w:keepNext w:val="0"/>
        <w:keepLines w:val="0"/>
        <w:pageBreakBefore w:val="0"/>
        <w:widowControl/>
        <w:kinsoku/>
        <w:wordWrap/>
        <w:overflowPunct/>
        <w:topLinePunct w:val="0"/>
        <w:autoSpaceDE/>
        <w:autoSpaceDN/>
        <w:bidi w:val="0"/>
        <w:adjustRightInd/>
        <w:snapToGrid w:val="0"/>
        <w:spacing w:line="560" w:lineRule="atLeast"/>
        <w:jc w:val="center"/>
        <w:textAlignment w:val="baseline"/>
        <w:rPr>
          <w:rFonts w:hint="eastAsia" w:ascii="方正小标宋简体" w:hAnsi="方正小标宋简体" w:eastAsia="方正小标宋简体" w:cs="方正小标宋简体"/>
          <w:b/>
          <w:bCs/>
          <w:color w:val="000000"/>
          <w:sz w:val="44"/>
          <w:szCs w:val="44"/>
          <w:shd w:val="clear" w:color="auto" w:fill="FFFFFF"/>
          <w:lang w:val="en-US" w:eastAsia="zh-CN"/>
        </w:rPr>
      </w:pPr>
      <w:r>
        <w:rPr>
          <w:rFonts w:hint="eastAsia" w:ascii="方正小标宋简体" w:hAnsi="方正小标宋简体" w:eastAsia="方正小标宋简体" w:cs="方正小标宋简体"/>
          <w:b/>
          <w:bCs/>
          <w:color w:val="000000"/>
          <w:sz w:val="44"/>
          <w:szCs w:val="44"/>
          <w:shd w:val="clear" w:color="auto" w:fill="FFFFFF"/>
        </w:rPr>
        <w:t>南京中医药大学</w:t>
      </w:r>
      <w:r>
        <w:rPr>
          <w:rFonts w:hint="eastAsia" w:ascii="方正小标宋简体" w:hAnsi="方正小标宋简体" w:eastAsia="方正小标宋简体" w:cs="方正小标宋简体"/>
          <w:b/>
          <w:bCs/>
          <w:color w:val="000000"/>
          <w:sz w:val="44"/>
          <w:szCs w:val="44"/>
          <w:shd w:val="clear" w:color="auto" w:fill="FFFFFF"/>
          <w:lang w:val="en-US" w:eastAsia="zh-CN"/>
        </w:rPr>
        <w:t>2023年</w:t>
      </w:r>
      <w:r>
        <w:rPr>
          <w:rFonts w:hint="eastAsia" w:ascii="方正小标宋简体" w:hAnsi="方正小标宋简体" w:eastAsia="方正小标宋简体" w:cs="方正小标宋简体"/>
          <w:b/>
          <w:bCs/>
          <w:color w:val="000000"/>
          <w:sz w:val="44"/>
          <w:szCs w:val="44"/>
          <w:shd w:val="clear" w:color="auto" w:fill="FFFFFF"/>
        </w:rPr>
        <w:t>本科生</w:t>
      </w:r>
      <w:r>
        <w:rPr>
          <w:rFonts w:hint="eastAsia" w:ascii="方正小标宋简体" w:hAnsi="方正小标宋简体" w:eastAsia="方正小标宋简体" w:cs="方正小标宋简体"/>
          <w:b/>
          <w:bCs/>
          <w:color w:val="000000"/>
          <w:sz w:val="44"/>
          <w:szCs w:val="44"/>
          <w:shd w:val="clear" w:color="auto" w:fill="FFFFFF"/>
          <w:lang w:val="en-US" w:eastAsia="zh-CN"/>
        </w:rPr>
        <w:t>暑假作业</w:t>
      </w:r>
    </w:p>
    <w:p>
      <w:pPr>
        <w:keepNext w:val="0"/>
        <w:keepLines w:val="0"/>
        <w:pageBreakBefore w:val="0"/>
        <w:widowControl/>
        <w:kinsoku/>
        <w:wordWrap/>
        <w:overflowPunct/>
        <w:topLinePunct w:val="0"/>
        <w:autoSpaceDE/>
        <w:autoSpaceDN/>
        <w:bidi w:val="0"/>
        <w:adjustRightInd/>
        <w:snapToGrid w:val="0"/>
        <w:spacing w:line="560" w:lineRule="atLeast"/>
        <w:jc w:val="center"/>
        <w:textAlignment w:val="baseline"/>
        <w:rPr>
          <w:rFonts w:hint="default"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b/>
          <w:bCs/>
          <w:color w:val="000000"/>
          <w:sz w:val="44"/>
          <w:szCs w:val="44"/>
          <w:shd w:val="clear" w:color="auto" w:fill="FFFFFF"/>
          <w:lang w:val="en-US" w:eastAsia="zh-CN"/>
        </w:rPr>
        <w:t>推荐书单</w:t>
      </w:r>
      <w:bookmarkEnd w:id="0"/>
      <w:bookmarkEnd w:id="2"/>
    </w:p>
    <w:bookmarkEnd w:id="1"/>
    <w:p>
      <w:pPr>
        <w:jc w:val="left"/>
        <w:rPr>
          <w:rFonts w:ascii="宋体" w:hAnsi="宋体"/>
          <w:sz w:val="28"/>
          <w:szCs w:val="28"/>
        </w:rPr>
      </w:pPr>
      <w:bookmarkStart w:id="3" w:name="_GoBack"/>
      <w:bookmarkEnd w:id="3"/>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格局提升篇</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b/>
          <w:bCs/>
          <w:sz w:val="32"/>
          <w:szCs w:val="32"/>
        </w:rPr>
      </w:pPr>
      <w:r>
        <w:rPr>
          <w:rFonts w:hint="eastAsia" w:ascii="仿宋" w:hAnsi="仿宋" w:eastAsia="仿宋" w:cs="仿宋"/>
          <w:b/>
          <w:bCs/>
          <w:sz w:val="32"/>
          <w:szCs w:val="32"/>
        </w:rPr>
        <w:t>1.《为什么是中国》</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责任者：金一南</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出版社：北京联合出版公司</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ISBN：978-7-5596-3913-4</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索书号：K205/27</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书以历史为脉络，将从甲午中日战争至21世纪世界新格局形成之间的历史事件为研究材料，寻道问路，分析近现代初期破碎山河中的世道人心、岐路惶恐间的挣扎徘徊，解读阐释共产党人的伟大历史自觉、抗战胜利的能量密码，鸟瞰钩沉中国崛起征途中的较量，理性瞻望改革强军的挑战与机遇、世界格局的未来走向。</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b/>
          <w:bCs/>
          <w:sz w:val="32"/>
          <w:szCs w:val="32"/>
        </w:rPr>
      </w:pPr>
      <w:r>
        <w:rPr>
          <w:rFonts w:hint="eastAsia" w:ascii="仿宋" w:hAnsi="仿宋" w:eastAsia="仿宋" w:cs="仿宋"/>
          <w:b/>
          <w:bCs/>
          <w:sz w:val="32"/>
          <w:szCs w:val="32"/>
        </w:rPr>
        <w:t>2.《置身事内：中国政府与经济发展》</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责任者：兰小欢</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出版社：上海人民出版社</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ISBN：978-7-208-17133-6</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索书号：D630/324</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书是是兰小欢多年教学、调研与研究内容的凝练，将经济学原理与中国经济发展的实践有机融合，以地方政府投融资为主线，深入浅出地论述了中国经济的发展，笔触简练客观，并广泛采纳了各领域学者的最新研究成果。</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b/>
          <w:bCs/>
          <w:sz w:val="32"/>
          <w:szCs w:val="32"/>
        </w:rPr>
      </w:pPr>
      <w:r>
        <w:rPr>
          <w:rFonts w:hint="eastAsia" w:ascii="仿宋" w:hAnsi="仿宋" w:eastAsia="仿宋" w:cs="仿宋"/>
          <w:b/>
          <w:bCs/>
          <w:sz w:val="32"/>
          <w:szCs w:val="32"/>
        </w:rPr>
        <w:t>3.《九大思考：重新审视我们的世界》</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责任者：(德) 玛雅·格佩尔</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出版社：中译出版社</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ISBN：978-7-5001-7082-2</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索书号：X22/6</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玛雅·格佩尔运用经济学的基本理论，说明了人类目前亟待解决的不是环境危机，而是社会危机。作者的观点为我们提供了有益的资鉴：在全世界经济增长迅猛、分配不公的情况下，人类应摆脱不合时宜的思维观念，以便更好地应对自然资源和市场机制中产生的种种危机，从而实现对生态环境的有效保护和可持续发展。</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b/>
          <w:bCs/>
          <w:sz w:val="32"/>
          <w:szCs w:val="32"/>
        </w:rPr>
      </w:pPr>
      <w:r>
        <w:rPr>
          <w:rFonts w:hint="eastAsia" w:ascii="仿宋" w:hAnsi="仿宋" w:eastAsia="仿宋" w:cs="仿宋"/>
          <w:b/>
          <w:bCs/>
          <w:sz w:val="32"/>
          <w:szCs w:val="32"/>
        </w:rPr>
        <w:t>4.《家国天下：现代中国的个人、国家与世界认同》</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责任者：许纪霖</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出版社：上海人民出版社</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ISBN：978-7-208-14196-4</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索书号：D092/40</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该书从思想史中探寻中国近现代国家认同所受到的冲击和转变，对于现代中国人如何理解个人、民族、国家以及世界等问题提出自己的见解。作者扬弃了“天下主义”这一中国传统政治智慧，提出了“新天下主义”的概念，力求达至对民族国家和传统天下主义的双重超克。</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医学知识篇</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b/>
          <w:bCs/>
          <w:sz w:val="32"/>
          <w:szCs w:val="32"/>
        </w:rPr>
      </w:pPr>
      <w:r>
        <w:rPr>
          <w:rFonts w:hint="eastAsia" w:ascii="仿宋" w:hAnsi="仿宋" w:eastAsia="仿宋" w:cs="仿宋"/>
          <w:b/>
          <w:bCs/>
          <w:sz w:val="32"/>
          <w:szCs w:val="32"/>
        </w:rPr>
        <w:t>1.《认知迭代：自由切换大脑的思考模式》</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责任者：(英) 卡罗琳·威廉姆斯</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出版社：北京日报出版社</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ISBN：978-7-5477-2460-6</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索书号：R74/34</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书将带领读者踏上一段探索神经科学实际作用的精彩神秘之旅。本书作者将自己当做小白鼠，前往各个神经科学家的实验室进行探访，对这些研究人员发起挑战，请他们对自己的大脑进行实质性的改变。她试图改善自己的弱点，例如有限的注意范围、过分忧虑的倾向等，然后将研究的触角伸向更加神秘的部分，如智力、创造力、对时间的感知能力等。</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b/>
          <w:bCs/>
          <w:sz w:val="32"/>
          <w:szCs w:val="32"/>
        </w:rPr>
      </w:pPr>
      <w:r>
        <w:rPr>
          <w:rFonts w:hint="eastAsia" w:ascii="仿宋" w:hAnsi="仿宋" w:eastAsia="仿宋" w:cs="仿宋"/>
          <w:b/>
          <w:bCs/>
          <w:sz w:val="32"/>
          <w:szCs w:val="32"/>
        </w:rPr>
        <w:t>2.《疾病机制》</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责任者：王建枝, 吴立玲, 陈琪</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出版社：人民卫生出版社</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ISBN：978-7-117-27283-4</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索书号：R4/711</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书以疾病的发病机制为主线，从分子、亚细胞、细胞、器官、系统和整体水平，系统阐述疾病发生发展过程中机体的代谢和功能改变规律及特征，增加了近年来在疾病机制研究领域的最新进展，并在多个章节介绍了用于疾病机制研究的基本思维方法和研究技术。</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b/>
          <w:bCs/>
          <w:sz w:val="32"/>
          <w:szCs w:val="32"/>
        </w:rPr>
      </w:pPr>
      <w:r>
        <w:rPr>
          <w:rFonts w:hint="eastAsia" w:ascii="仿宋" w:hAnsi="仿宋" w:eastAsia="仿宋" w:cs="仿宋"/>
          <w:b/>
          <w:bCs/>
          <w:sz w:val="32"/>
          <w:szCs w:val="32"/>
        </w:rPr>
        <w:t>3.《医界探案：感染病科的故事》</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责任者：黄英男, 胡必杰</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出版社：人民卫生出版社</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ISBN：978-7-117-33298-9</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索书号：R4/843</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随着我国人口平均寿命的延长和人民生活水平的提高，感染性疾病的患病率呈显著上升趋势。本书将40个疑难复杂的临床病例写作曲折悬疑的“案件”，不仅在言而有据的前提下还原抽丝剥茧、严谨诊断，胆大心细、积极治疗的真实医疗场景，而且通过每个“案件”后所附的“相关病例”和“医生提示”，为读者总结和科普防治该类疾病的重点知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b/>
          <w:bCs/>
          <w:sz w:val="32"/>
          <w:szCs w:val="32"/>
        </w:rPr>
      </w:pPr>
      <w:r>
        <w:rPr>
          <w:rFonts w:hint="eastAsia" w:ascii="仿宋" w:hAnsi="仿宋" w:eastAsia="仿宋" w:cs="仿宋"/>
          <w:b/>
          <w:bCs/>
          <w:sz w:val="32"/>
          <w:szCs w:val="32"/>
        </w:rPr>
        <w:t>4.《中国抗疫简史》</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责任者：张剑光</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出版社：新华出版社</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ISBN：978-7-5166-5064-6</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索书号：R254.3/20</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全书共分八章，系统勾勒我国数千年来的疫病流传情况，详细介绍主要疫病的流传和危害，简要评价传统医学的防疫和治疫理论认识，并重点提及当时诸多颇为有效的治疗方法。</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畅销文学篇</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b/>
          <w:bCs/>
          <w:sz w:val="32"/>
          <w:szCs w:val="32"/>
        </w:rPr>
      </w:pPr>
      <w:r>
        <w:rPr>
          <w:rFonts w:hint="eastAsia" w:ascii="仿宋" w:hAnsi="仿宋" w:eastAsia="仿宋" w:cs="仿宋"/>
          <w:b/>
          <w:bCs/>
          <w:sz w:val="32"/>
          <w:szCs w:val="32"/>
        </w:rPr>
        <w:t>1.《活着》</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责任者：余华</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出版社：作家出版社</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ISBN：978-7-5063-6543-7</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索书号：I247.57/811(3)</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活着》是中国当代作家余华创作的长篇小说，小说以普通、平实的故事情节讲述了在急剧变革的时代中福贵的不幸遭遇和坎坷命运，在冷静的笔触中展现了生命的意义和存在的价值，揭示了命运的无奈，与生活的不可捉摸。</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b/>
          <w:bCs/>
          <w:sz w:val="32"/>
          <w:szCs w:val="32"/>
        </w:rPr>
      </w:pPr>
      <w:r>
        <w:rPr>
          <w:rFonts w:hint="eastAsia" w:ascii="仿宋" w:hAnsi="仿宋" w:eastAsia="仿宋" w:cs="仿宋"/>
          <w:b/>
          <w:bCs/>
          <w:sz w:val="32"/>
          <w:szCs w:val="32"/>
        </w:rPr>
        <w:t>2.《狂飙》</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责任者：朱俊懿, 徐纪周</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出版社：青岛出版社</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ISBN：978-7-5736-0430-9</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索书号：I247.5/93544.</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书中讲述了以一线刑警安欣为代表的正义力量，与黑恶势力展开的长达二十年的生死搏斗故事，通过群像叙事，展现扫黑行动中的黑白较量和复杂人性。</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b/>
          <w:bCs/>
          <w:sz w:val="32"/>
          <w:szCs w:val="32"/>
        </w:rPr>
      </w:pPr>
      <w:r>
        <w:rPr>
          <w:rFonts w:hint="eastAsia" w:ascii="仿宋" w:hAnsi="仿宋" w:eastAsia="仿宋" w:cs="仿宋"/>
          <w:b/>
          <w:bCs/>
          <w:sz w:val="32"/>
          <w:szCs w:val="32"/>
        </w:rPr>
        <w:t>3.《月亮与六便士》</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责任者：(英)毛姆</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出版社：中国华侨出版社</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ISBN：978-7-5113-7341-0</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索书号：I561.45/196-7</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本书是毛姆最为重要的长篇小说代表作之一, 取材于法国后期印象派画家保罗·高更的生平。木讷、平凡的中年证券经纪人, 为了响应内心的呼唤, 追求绘画的理想, 抛弃了近乎完美的生活, 冲破一切世俗羁绊, 弃家出走, 一人去往巴黎, 穷困潦倒度日。历经一番离奇, 终与文明世界告别, 在塔希提岛上寻得精神的栖息之处, 持续迸发的灵感令他创作出一幅幅惊世杰作。</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b/>
          <w:bCs/>
          <w:sz w:val="32"/>
          <w:szCs w:val="32"/>
        </w:rPr>
      </w:pPr>
      <w:r>
        <w:rPr>
          <w:rFonts w:hint="eastAsia" w:ascii="仿宋" w:hAnsi="仿宋" w:eastAsia="仿宋" w:cs="仿宋"/>
          <w:b/>
          <w:bCs/>
          <w:sz w:val="32"/>
          <w:szCs w:val="32"/>
        </w:rPr>
        <w:t>4.《局外人》</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责任者：(法) 阿尔贝·加缪</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出版社：中国友谊出版公司</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ISBN：978-7-5057-3925-3</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索书号：I565.45/140</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局外人》是加缪的成名作，也是存在主义文学的杰作，更是荒诞小说的代表作。小说讲述一位寻常的年轻职员，终日麻木地生活在漫无目的惯性中，某日去海边度假，卷进一宗冲突，犯下杀人案，因“他没有在母亲的葬礼上流一滴泪”的理由，被法庭以“法兰西人民”的名义判处死刑。</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情感心理篇</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b/>
          <w:bCs/>
          <w:sz w:val="32"/>
          <w:szCs w:val="32"/>
        </w:rPr>
      </w:pPr>
      <w:r>
        <w:rPr>
          <w:rFonts w:hint="eastAsia" w:ascii="仿宋" w:hAnsi="仿宋" w:eastAsia="仿宋" w:cs="仿宋"/>
          <w:b/>
          <w:bCs/>
          <w:sz w:val="32"/>
          <w:szCs w:val="32"/>
        </w:rPr>
        <w:t>1.《意念的治愈力》</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责任者：(美) 詹姆斯·约瑟夫·沃尔什</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出版社：中国人民大学出版社</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ISBN：978-7-300-16518-9</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索书号：B848.4/1571</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意念的治愈力》一书中，作者分析了恐惧、习惯、怜悯的现象与由来，探讨了意志的能量与如何有意识地对其加以运用，并针对一些具体的疾病如肠胃病、神经官能症、女性疾病等，指出了意念与这些疾病的关系和佐助治愈作用。</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b/>
          <w:bCs/>
          <w:sz w:val="32"/>
          <w:szCs w:val="32"/>
        </w:rPr>
      </w:pPr>
      <w:r>
        <w:rPr>
          <w:rFonts w:hint="eastAsia" w:ascii="仿宋" w:hAnsi="仿宋" w:eastAsia="仿宋" w:cs="仿宋"/>
          <w:b/>
          <w:bCs/>
          <w:sz w:val="32"/>
          <w:szCs w:val="32"/>
        </w:rPr>
        <w:t>2.《乌合之众》</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责任者：(法) 勒庞</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出版社：中国华侨出版社</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ISBN：978-7-5113-3765-8</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索书号：C912.6/97</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这是一本研究大众心理学的著作。在书中，勒庞阐述了群体以及群体心理的特征，指出了当个人是一个孤立的个体时，他有着自己鲜明的个性化特征，而当这个人融入了群体后，他的所有个性都会被这个群体所淹没，他的思想立刻就会被群体的思想所取代。而当一个群体存在时，他就有着情绪化、无异议、低智商等特征。</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b/>
          <w:bCs/>
          <w:sz w:val="32"/>
          <w:szCs w:val="32"/>
        </w:rPr>
      </w:pPr>
      <w:r>
        <w:rPr>
          <w:rFonts w:hint="eastAsia" w:ascii="仿宋" w:hAnsi="仿宋" w:eastAsia="仿宋" w:cs="仿宋"/>
          <w:b/>
          <w:bCs/>
          <w:sz w:val="32"/>
          <w:szCs w:val="32"/>
        </w:rPr>
        <w:t>3《人间值得》</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责任者：(日) 中村恒子, 奥田弘美</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出版社：北京日报出版社</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ISBN：978-7-5477-3431-5</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索书号：B821/1968</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人如何度过一生，才不会辜负生命？面对人生的终极问题，当了70年心理医生的作者中村恒子，将其90年的人生智慧，化为本书六大篇章关于工作、爱、人际关系、幸福、死亡等课题的诚挚箴言，陪同数不清的人走过人生泥泞的时期，让他们在认清生活真相后，仍然有 热爱生活的勇气。</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b/>
          <w:bCs/>
          <w:sz w:val="32"/>
          <w:szCs w:val="32"/>
        </w:rPr>
      </w:pPr>
      <w:r>
        <w:rPr>
          <w:rFonts w:hint="eastAsia" w:ascii="仿宋" w:hAnsi="仿宋" w:eastAsia="仿宋" w:cs="仿宋"/>
          <w:b/>
          <w:bCs/>
          <w:sz w:val="32"/>
          <w:szCs w:val="32"/>
        </w:rPr>
        <w:t>4.《走出孤独》</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责任者：(奥) 阿尔弗雷德·阿德勒</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出版社：天地出版社</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索书号：B84-49/520</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本书从自卑的心理根源谈起把自卑者内心的黑洞晒在阳光之下, 使人慢慢学会自我建设, 纾解欲望。学会区分正常欲望与极端欲望, 学会平衡自我与这个社会的关系, 活出一个健康的自我——有个性但不任性, 自我但不自私, 跟随内心但不从众, 绝不浪费时间为他人而活, 独立且自由。</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内在修养篇</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b/>
          <w:bCs/>
          <w:sz w:val="32"/>
          <w:szCs w:val="32"/>
        </w:rPr>
      </w:pPr>
      <w:r>
        <w:rPr>
          <w:rFonts w:hint="eastAsia" w:ascii="仿宋" w:hAnsi="仿宋" w:eastAsia="仿宋" w:cs="仿宋"/>
          <w:b/>
          <w:bCs/>
          <w:sz w:val="32"/>
          <w:szCs w:val="32"/>
        </w:rPr>
        <w:t>1.《故事演讲力》</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责任者：安妮</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出版社：台海出版社</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ISBN：978-7-5168-2963-9</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索书号：H019/482</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作者介绍了通过提升故事演讲力成就个人影响力的技巧: 提升故事演讲力的关键因素、爆款演讲的结构设计逻辑、构建演讲框架的4种方法、克服演讲恐惧症的基本心法、如何开场就吸引观众、如何拉近与观众的距离、如何打动观众、如何通过互动控场等内容, 毫无保留地分享了成为卓越演讲者所必需掌握的诀窍。</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b/>
          <w:bCs/>
          <w:sz w:val="32"/>
          <w:szCs w:val="32"/>
        </w:rPr>
      </w:pPr>
      <w:r>
        <w:rPr>
          <w:rFonts w:hint="eastAsia" w:ascii="仿宋" w:hAnsi="仿宋" w:eastAsia="仿宋" w:cs="仿宋"/>
          <w:b/>
          <w:bCs/>
          <w:sz w:val="32"/>
          <w:szCs w:val="32"/>
        </w:rPr>
        <w:t>2.《学会自学》</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责任者：纪坪</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出版社：中国友谊出版公司</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ISBN：978-7-5057-5136-1</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索书号：G791/47</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书告诉我们，学习是一种主动行为，有了输入之后，必须将学到的知识自行消化、整理、再输出，大脑才会将其视为“重要情报”，转换成长期记忆储存，活用在现实生活中。自学能力强的人，可以快速地学习、掌握新的知识和技能，不论进入任何领域，都能在短时间内成为行家里手。</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b/>
          <w:bCs/>
          <w:sz w:val="32"/>
          <w:szCs w:val="32"/>
        </w:rPr>
      </w:pPr>
      <w:r>
        <w:rPr>
          <w:rFonts w:hint="eastAsia" w:ascii="仿宋" w:hAnsi="仿宋" w:eastAsia="仿宋" w:cs="仿宋"/>
          <w:b/>
          <w:bCs/>
          <w:sz w:val="32"/>
          <w:szCs w:val="32"/>
        </w:rPr>
        <w:t>3.《心中有数：生活中的数学思维》</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责任者：刘雪峰</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出版社：人民邮电出版社</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ISBN：978-7-115-57804-4</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索书号：O1-49/129</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这是一本有趣的数学思维书，书中用生活中的案例与数学公式相结合，致力于教会读者如何用严谨的理工科思维，来看待当前世界中的各种现象，帮助读者了解数学思维、掌握数学思维、并将其运用到生活之中。</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b/>
          <w:bCs/>
          <w:sz w:val="32"/>
          <w:szCs w:val="32"/>
        </w:rPr>
      </w:pPr>
      <w:r>
        <w:rPr>
          <w:rFonts w:hint="eastAsia" w:ascii="仿宋" w:hAnsi="仿宋" w:eastAsia="仿宋" w:cs="仿宋"/>
          <w:b/>
          <w:bCs/>
          <w:sz w:val="32"/>
          <w:szCs w:val="32"/>
        </w:rPr>
        <w:t>4.《费曼学习法：用输出倒逼输入》</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责任者：尹红心，李伟</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出版社：江苏凤凰文艺出版社</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ISBN：978-7-5594-5491-1</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r>
        <w:rPr>
          <w:rFonts w:hint="eastAsia" w:ascii="仿宋" w:hAnsi="仿宋" w:eastAsia="仿宋" w:cs="仿宋"/>
          <w:sz w:val="32"/>
          <w:szCs w:val="32"/>
        </w:rPr>
        <w:t>索书号：G44/504</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诺贝尔奖得主、物理学家、纳米技术之父、量子电动力学的创始人费曼，除精通多门语言外，在音乐方面的造诣也颇深。之所以能在众多领域取得举世瞩目的伟大成就，是因为他有一套独特的学习法，是当之无愧的学习大师。这本书中介绍了费曼的学习方法和思维方式！</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rPr>
      </w:pPr>
    </w:p>
    <w:p>
      <w:pPr>
        <w:pStyle w:val="2"/>
        <w:keepNext w:val="0"/>
        <w:keepLines w:val="0"/>
        <w:pageBreakBefore w:val="0"/>
        <w:kinsoku/>
        <w:wordWrap/>
        <w:overflowPunct/>
        <w:topLinePunct w:val="0"/>
        <w:autoSpaceDE/>
        <w:autoSpaceDN/>
        <w:bidi w:val="0"/>
        <w:adjustRightInd/>
        <w:snapToGrid w:val="0"/>
        <w:spacing w:before="0" w:beforeAutospacing="0" w:after="0" w:afterAutospacing="0" w:line="560" w:lineRule="exact"/>
        <w:jc w:val="right"/>
        <w:textAlignment w:val="auto"/>
        <w:rPr>
          <w:rFonts w:hint="eastAsia" w:ascii="仿宋" w:hAnsi="仿宋" w:eastAsia="仿宋" w:cs="仿宋"/>
          <w:b w:val="0"/>
          <w:bCs w:val="0"/>
          <w:i w:val="0"/>
          <w:iCs w:val="0"/>
          <w:snapToGrid w:val="0"/>
          <w:kern w:val="0"/>
          <w:sz w:val="32"/>
          <w:szCs w:val="32"/>
          <w:lang w:val="en-US" w:eastAsia="zh-CN" w:bidi="ar-SA"/>
        </w:rPr>
      </w:pPr>
      <w:r>
        <w:rPr>
          <w:rFonts w:hint="eastAsia" w:ascii="仿宋" w:hAnsi="仿宋" w:eastAsia="仿宋" w:cs="仿宋"/>
          <w:b w:val="0"/>
          <w:bCs w:val="0"/>
          <w:i w:val="0"/>
          <w:iCs w:val="0"/>
          <w:snapToGrid w:val="0"/>
          <w:kern w:val="0"/>
          <w:sz w:val="32"/>
          <w:szCs w:val="32"/>
          <w:lang w:val="en-US" w:eastAsia="zh-CN" w:bidi="ar-SA"/>
        </w:rPr>
        <w:t>图书馆、学工处</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560" w:lineRule="exact"/>
        <w:jc w:val="right"/>
        <w:textAlignment w:val="auto"/>
        <w:rPr>
          <w:rFonts w:hint="default" w:ascii="仿宋" w:hAnsi="仿宋" w:eastAsia="仿宋" w:cs="仿宋"/>
          <w:b w:val="0"/>
          <w:bCs w:val="0"/>
          <w:i w:val="0"/>
          <w:iCs w:val="0"/>
          <w:snapToGrid w:val="0"/>
          <w:kern w:val="0"/>
          <w:sz w:val="32"/>
          <w:szCs w:val="32"/>
          <w:lang w:val="en-US" w:eastAsia="zh-CN" w:bidi="ar-SA"/>
        </w:rPr>
      </w:pPr>
      <w:r>
        <w:rPr>
          <w:rFonts w:hint="eastAsia" w:ascii="仿宋" w:hAnsi="仿宋" w:eastAsia="仿宋" w:cs="仿宋"/>
          <w:b w:val="0"/>
          <w:bCs w:val="0"/>
          <w:i w:val="0"/>
          <w:iCs w:val="0"/>
          <w:snapToGrid w:val="0"/>
          <w:kern w:val="0"/>
          <w:sz w:val="32"/>
          <w:szCs w:val="32"/>
          <w:lang w:val="en-US" w:eastAsia="zh-CN" w:bidi="ar-SA"/>
        </w:rPr>
        <w:t>2023年6月29日</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1663BEA1-4F16-4ABA-B9E3-0D24DC7290F3}"/>
  </w:font>
  <w:font w:name="仿宋">
    <w:panose1 w:val="02010609060101010101"/>
    <w:charset w:val="86"/>
    <w:family w:val="auto"/>
    <w:pitch w:val="default"/>
    <w:sig w:usb0="800002BF" w:usb1="38CF7CFA" w:usb2="00000016" w:usb3="00000000" w:csb0="00040001" w:csb1="00000000"/>
    <w:embedRegular r:id="rId2" w:fontKey="{2AD460FA-F008-4894-927F-712C352B12A9}"/>
  </w:font>
  <w:font w:name="方正小标宋简体">
    <w:panose1 w:val="02000000000000000000"/>
    <w:charset w:val="86"/>
    <w:family w:val="auto"/>
    <w:pitch w:val="default"/>
    <w:sig w:usb0="00000001" w:usb1="08000000" w:usb2="00000000" w:usb3="00000000" w:csb0="00040000" w:csb1="00000000"/>
    <w:embedRegular r:id="rId3" w:fontKey="{FF689092-1F7C-47CB-AC5C-61CCB8528F11}"/>
  </w:font>
  <w:font w:name="方正小标宋_GBK">
    <w:panose1 w:val="02000000000000000000"/>
    <w:charset w:val="86"/>
    <w:family w:val="auto"/>
    <w:pitch w:val="default"/>
    <w:sig w:usb0="A00002BF" w:usb1="38CF7CFA" w:usb2="00082016" w:usb3="00000000" w:csb0="00040001" w:csb1="00000000"/>
  </w:font>
  <w:font w:name="等线 Light">
    <w:panose1 w:val="02010600030101010101"/>
    <w:charset w:val="86"/>
    <w:family w:val="auto"/>
    <w:pitch w:val="default"/>
    <w:sig w:usb0="A00002BF" w:usb1="38CF7CFA" w:usb2="00000016" w:usb3="00000000" w:csb0="0004000F" w:csb1="00000000"/>
  </w:font>
  <w:font w:name="方正大黑简体">
    <w:panose1 w:val="02000000000000000000"/>
    <w:charset w:val="86"/>
    <w:family w:val="auto"/>
    <w:pitch w:val="default"/>
    <w:sig w:usb0="A00002BF" w:usb1="184F6CFA" w:usb2="00000012" w:usb3="00000000" w:csb0="00040001" w:csb1="00000000"/>
  </w:font>
  <w:font w:name="方正仿宋_GB18030">
    <w:panose1 w:val="02000000000000000000"/>
    <w:charset w:val="86"/>
    <w:family w:val="auto"/>
    <w:pitch w:val="default"/>
    <w:sig w:usb0="00000001" w:usb1="0800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方正公文楷体">
    <w:panose1 w:val="02000500000000000000"/>
    <w:charset w:val="86"/>
    <w:family w:val="auto"/>
    <w:pitch w:val="default"/>
    <w:sig w:usb0="A00002BF" w:usb1="38CF7CFA" w:usb2="00000016" w:usb3="00000000" w:csb0="00040001" w:csb1="00000000"/>
  </w:font>
  <w:font w:name="方正公文黑体">
    <w:panose1 w:val="02000500000000000000"/>
    <w:charset w:val="86"/>
    <w:family w:val="auto"/>
    <w:pitch w:val="default"/>
    <w:sig w:usb0="A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embedRegular r:id="rId4" w:fontKey="{13B79BE0-B209-4840-97E9-B9F4567B69B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NhZDM5ZjRhY2FlOWUwOTFiNDc4MThjYTZhZDUyMTcifQ=="/>
  </w:docVars>
  <w:rsids>
    <w:rsidRoot w:val="001D5FA5"/>
    <w:rsid w:val="00033789"/>
    <w:rsid w:val="000878E5"/>
    <w:rsid w:val="00157E49"/>
    <w:rsid w:val="00182370"/>
    <w:rsid w:val="0018762C"/>
    <w:rsid w:val="001957A7"/>
    <w:rsid w:val="001D5A00"/>
    <w:rsid w:val="001D5FA5"/>
    <w:rsid w:val="00222397"/>
    <w:rsid w:val="00262B6A"/>
    <w:rsid w:val="002A4DF1"/>
    <w:rsid w:val="002D3609"/>
    <w:rsid w:val="002D7CD3"/>
    <w:rsid w:val="002F698A"/>
    <w:rsid w:val="00306494"/>
    <w:rsid w:val="00320C7B"/>
    <w:rsid w:val="0033548B"/>
    <w:rsid w:val="003615C5"/>
    <w:rsid w:val="00376F29"/>
    <w:rsid w:val="00382D62"/>
    <w:rsid w:val="00392DCA"/>
    <w:rsid w:val="003E7679"/>
    <w:rsid w:val="003F298F"/>
    <w:rsid w:val="00412323"/>
    <w:rsid w:val="00417739"/>
    <w:rsid w:val="004967B3"/>
    <w:rsid w:val="004C772E"/>
    <w:rsid w:val="004D1EE5"/>
    <w:rsid w:val="004E0B2D"/>
    <w:rsid w:val="004F4ABA"/>
    <w:rsid w:val="004F5749"/>
    <w:rsid w:val="0050661A"/>
    <w:rsid w:val="005218BC"/>
    <w:rsid w:val="00531D33"/>
    <w:rsid w:val="00597259"/>
    <w:rsid w:val="005B571D"/>
    <w:rsid w:val="005C530D"/>
    <w:rsid w:val="00605BA3"/>
    <w:rsid w:val="00632751"/>
    <w:rsid w:val="00671789"/>
    <w:rsid w:val="00680B53"/>
    <w:rsid w:val="00691F2D"/>
    <w:rsid w:val="006C0321"/>
    <w:rsid w:val="006D755C"/>
    <w:rsid w:val="006E294F"/>
    <w:rsid w:val="006E2C8F"/>
    <w:rsid w:val="006F66A3"/>
    <w:rsid w:val="00702B01"/>
    <w:rsid w:val="00746790"/>
    <w:rsid w:val="0077790D"/>
    <w:rsid w:val="00786A32"/>
    <w:rsid w:val="007B610F"/>
    <w:rsid w:val="00820B14"/>
    <w:rsid w:val="00831C86"/>
    <w:rsid w:val="00853E75"/>
    <w:rsid w:val="00854241"/>
    <w:rsid w:val="008632E3"/>
    <w:rsid w:val="008944E4"/>
    <w:rsid w:val="008D461C"/>
    <w:rsid w:val="00914917"/>
    <w:rsid w:val="00946C18"/>
    <w:rsid w:val="009B2A31"/>
    <w:rsid w:val="009E4CEE"/>
    <w:rsid w:val="00A430DD"/>
    <w:rsid w:val="00A54FD6"/>
    <w:rsid w:val="00A74E3F"/>
    <w:rsid w:val="00A75E7E"/>
    <w:rsid w:val="00AA7D0D"/>
    <w:rsid w:val="00AC7687"/>
    <w:rsid w:val="00B51834"/>
    <w:rsid w:val="00B66723"/>
    <w:rsid w:val="00B75403"/>
    <w:rsid w:val="00BA1F48"/>
    <w:rsid w:val="00BC7D48"/>
    <w:rsid w:val="00BD21DD"/>
    <w:rsid w:val="00BE0023"/>
    <w:rsid w:val="00C26562"/>
    <w:rsid w:val="00C35AFB"/>
    <w:rsid w:val="00C748AE"/>
    <w:rsid w:val="00CA06C8"/>
    <w:rsid w:val="00CA06FC"/>
    <w:rsid w:val="00CF0239"/>
    <w:rsid w:val="00CF38BC"/>
    <w:rsid w:val="00D02362"/>
    <w:rsid w:val="00D02367"/>
    <w:rsid w:val="00D0282D"/>
    <w:rsid w:val="00D12A8C"/>
    <w:rsid w:val="00D1477F"/>
    <w:rsid w:val="00D50C48"/>
    <w:rsid w:val="00D55605"/>
    <w:rsid w:val="00DC0D62"/>
    <w:rsid w:val="00E03B84"/>
    <w:rsid w:val="00E13EDB"/>
    <w:rsid w:val="00E17EC3"/>
    <w:rsid w:val="00E2405C"/>
    <w:rsid w:val="00E34ABE"/>
    <w:rsid w:val="00E423C9"/>
    <w:rsid w:val="00E82EC8"/>
    <w:rsid w:val="00E85A97"/>
    <w:rsid w:val="00E938DB"/>
    <w:rsid w:val="00EB0880"/>
    <w:rsid w:val="00ED1B87"/>
    <w:rsid w:val="00ED5888"/>
    <w:rsid w:val="00F53391"/>
    <w:rsid w:val="00F62328"/>
    <w:rsid w:val="00F82CA7"/>
    <w:rsid w:val="00F96C46"/>
    <w:rsid w:val="00FD189C"/>
    <w:rsid w:val="3C885F88"/>
    <w:rsid w:val="68261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rFonts w:ascii="Calibri" w:hAnsi="Calibri" w:eastAsia="宋体" w:cs="Times New Roman"/>
      <w:sz w:val="18"/>
      <w:szCs w:val="18"/>
    </w:rPr>
  </w:style>
  <w:style w:type="character" w:customStyle="1" w:styleId="9">
    <w:name w:val="页脚 字符"/>
    <w:basedOn w:val="7"/>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个人用户</Company>
  <Pages>12</Pages>
  <Words>4294</Words>
  <Characters>4844</Characters>
  <Lines>35</Lines>
  <Paragraphs>9</Paragraphs>
  <TotalTime>1</TotalTime>
  <ScaleCrop>false</ScaleCrop>
  <LinksUpToDate>false</LinksUpToDate>
  <CharactersWithSpaces>4880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2023-06-21T07:12:00Z</dcterms:created>
  <dc:creator>微软中国</dc:creator>
  <cp:lastModifiedBy>菜菜</cp:lastModifiedBy>
  <dcterms:modified xsi:type="dcterms:W3CDTF">2023-06-29T07:37:26Z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A74A639923FF4F3C8A9603FF3D67D6E6_13</vt:lpwstr>
  </property>
</Properties>
</file>